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00D" w:rsidRPr="008A7E71" w:rsidRDefault="00D43B5F" w:rsidP="008A7E71">
      <w:pPr>
        <w:pStyle w:val="Main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6016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01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8" cy="3084195"/>
                          <a:chOff x="1" y="0"/>
                          <a:chExt cx="7772398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" y="0"/>
                            <a:ext cx="7772398" cy="637606"/>
                            <a:chOff x="1" y="0"/>
                            <a:chExt cx="7772398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473"/>
                              <a:ext cx="7772398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BD1" w:rsidRPr="008864AB" w:rsidRDefault="00AA5010" w:rsidP="007E1BD1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  <w:p w:rsidR="008864AB" w:rsidRPr="008864AB" w:rsidRDefault="008864AB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BD1" w:rsidRPr="0024208C" w:rsidRDefault="00AA5010" w:rsidP="007E1BD1">
                              <w:pPr>
                                <w:pStyle w:val="SubHeader"/>
                              </w:pPr>
                              <w:r>
                                <w:t>March 11, 2021</w:t>
                              </w:r>
                            </w:p>
                            <w:p w:rsidR="007E1BD1" w:rsidRPr="00D2167C" w:rsidRDefault="00AA5010" w:rsidP="007E1BD1">
                              <w:pPr>
                                <w:pStyle w:val="BodyText"/>
                              </w:pPr>
                              <w:r>
                                <w:t>ARPA signed into law.</w:t>
                              </w:r>
                            </w:p>
                            <w:p w:rsidR="007E1BD1" w:rsidRDefault="00AA5010" w:rsidP="007E1BD1">
                              <w:pPr>
                                <w:pStyle w:val="SubHeader"/>
                              </w:pPr>
                              <w:r>
                                <w:t>April 1, 2021</w:t>
                              </w:r>
                            </w:p>
                            <w:p w:rsidR="007E1BD1" w:rsidRPr="00D2167C" w:rsidRDefault="00AA5010" w:rsidP="007E1BD1">
                              <w:pPr>
                                <w:pStyle w:val="BodyText"/>
                              </w:pPr>
                              <w:r>
                                <w:t>ARPA subsidy for COBRA premiums began.</w:t>
                              </w:r>
                            </w:p>
                            <w:p w:rsidR="007E1BD1" w:rsidRDefault="00AA5010" w:rsidP="007E1BD1">
                              <w:pPr>
                                <w:pStyle w:val="SubHeader"/>
                              </w:pPr>
                              <w:r>
                                <w:t>Sept. 30, 2021</w:t>
                              </w:r>
                            </w:p>
                            <w:p w:rsidR="007E1BD1" w:rsidRDefault="00AA5010" w:rsidP="007E1BD1">
                              <w:pPr>
                                <w:pStyle w:val="BodyText"/>
                              </w:pPr>
                              <w:r>
                                <w:t>ARPA subsidy for COBRA premiums expires.</w:t>
                              </w:r>
                            </w:p>
                            <w:p w:rsidR="0024208C" w:rsidRDefault="0024208C" w:rsidP="007E1BD1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7E1BD1" w:rsidRPr="008864AB" w:rsidP="007E1BD1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7E1BD1" w:rsidRPr="0024208C" w:rsidP="007E1BD1">
                        <w:pPr>
                          <w:pStyle w:val="SubHeader"/>
                        </w:pPr>
                        <w:r>
                          <w:t>March 11, 2021</w:t>
                        </w:r>
                      </w:p>
                      <w:p w:rsidR="007E1BD1" w:rsidRPr="00D2167C" w:rsidP="007E1BD1">
                        <w:pPr>
                          <w:pStyle w:val="BodyText"/>
                        </w:pPr>
                        <w:r>
                          <w:t>ARPA signed into law.</w:t>
                        </w:r>
                      </w:p>
                      <w:p w:rsidR="007E1BD1" w:rsidP="007E1BD1">
                        <w:pPr>
                          <w:pStyle w:val="SubHeader"/>
                        </w:pPr>
                        <w:r>
                          <w:t>April 1, 2021</w:t>
                        </w:r>
                      </w:p>
                      <w:p w:rsidR="007E1BD1" w:rsidRPr="00D2167C" w:rsidP="007E1BD1">
                        <w:pPr>
                          <w:pStyle w:val="BodyText"/>
                        </w:pPr>
                        <w:r>
                          <w:t>ARPA subsidy for COBRA premiums began.</w:t>
                        </w:r>
                      </w:p>
                      <w:p w:rsidR="007E1BD1" w:rsidP="007E1BD1">
                        <w:pPr>
                          <w:pStyle w:val="SubHeader"/>
                        </w:pPr>
                        <w:r>
                          <w:t>Sept. 30, 2021</w:t>
                        </w:r>
                      </w:p>
                      <w:p w:rsidR="007E1BD1" w:rsidP="007E1BD1">
                        <w:pPr>
                          <w:pStyle w:val="BodyText"/>
                        </w:pPr>
                        <w:r>
                          <w:t>ARPA subsidy for COBRA premiums expires.</w:t>
                        </w:r>
                      </w:p>
                      <w:p w:rsidR="0024208C" w:rsidP="007E1BD1">
                        <w:pPr>
                          <w:pStyle w:val="BodyTex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DOL Issues Model Notices, FAQs for COBRA Subsidy in the ARPA</w:t>
      </w:r>
    </w:p>
    <w:p w:rsidR="008A7E71" w:rsidRDefault="00AA5010" w:rsidP="008A7E71">
      <w:pPr>
        <w:pStyle w:val="BodyText"/>
      </w:pPr>
      <w:r w:rsidRPr="00D43B5F">
        <w:t xml:space="preserve">On April 7, 2021, the U.S. Department of Labor (DOL) issued </w:t>
      </w:r>
      <w:hyperlink r:id="rId10" w:history="1">
        <w:r w:rsidRPr="007E7DE1">
          <w:rPr>
            <w:rStyle w:val="Hyperlink"/>
          </w:rPr>
          <w:t>FAQs</w:t>
        </w:r>
      </w:hyperlink>
      <w:r w:rsidRPr="00D43B5F">
        <w:t xml:space="preserve"> and </w:t>
      </w:r>
      <w:hyperlink r:id="rId11" w:history="1">
        <w:r w:rsidRPr="007E7DE1">
          <w:rPr>
            <w:rStyle w:val="Hyperlink"/>
          </w:rPr>
          <w:t>model notices</w:t>
        </w:r>
      </w:hyperlink>
      <w:r w:rsidRPr="00D43B5F">
        <w:t xml:space="preserve"> for the COBRA premium assistance provisions of the </w:t>
      </w:r>
      <w:hyperlink r:id="rId12" w:history="1">
        <w:r w:rsidRPr="007E7DE1">
          <w:rPr>
            <w:rStyle w:val="Hyperlink"/>
          </w:rPr>
          <w:t>American Rescue Plan Act</w:t>
        </w:r>
      </w:hyperlink>
      <w:r w:rsidRPr="00D43B5F">
        <w:t xml:space="preserve"> (ARPA). The ARPA provides a</w:t>
      </w:r>
      <w:r w:rsidRPr="00D43B5F">
        <w:t xml:space="preserve"> 100% subsidy for employer-sponsored group health insurance continued under COBRA and similar state continuation of coverage programs for eligible individuals. The subsidy applies from April 1 through Sept</w:t>
      </w:r>
      <w:r w:rsidR="000167FE">
        <w:t>.</w:t>
      </w:r>
      <w:r w:rsidRPr="00D43B5F">
        <w:t xml:space="preserve"> 30, 2021. The notices and the FAQs appear on a ne</w:t>
      </w:r>
      <w:r w:rsidRPr="00D43B5F">
        <w:t xml:space="preserve">w DOL </w:t>
      </w:r>
      <w:hyperlink r:id="rId13" w:history="1">
        <w:r w:rsidRPr="007E7DE1">
          <w:rPr>
            <w:rStyle w:val="Hyperlink"/>
          </w:rPr>
          <w:t>webpage</w:t>
        </w:r>
      </w:hyperlink>
      <w:r w:rsidRPr="00D43B5F">
        <w:t xml:space="preserve"> dedicated to the ARPA COBRA subsidy. </w:t>
      </w:r>
    </w:p>
    <w:p w:rsidR="008A7E71" w:rsidRPr="008A7E71" w:rsidRDefault="00AA5010" w:rsidP="0024208C">
      <w:pPr>
        <w:pStyle w:val="SubHeader"/>
      </w:pPr>
      <w:r>
        <w:t>Model Notices</w:t>
      </w:r>
    </w:p>
    <w:p w:rsidR="00D43B5F" w:rsidRDefault="00AA5010" w:rsidP="00D43B5F">
      <w:pPr>
        <w:pStyle w:val="BodyText"/>
        <w:ind w:right="270"/>
      </w:pPr>
      <w:r>
        <w:t>The new model notices released by the DOL are the following:</w:t>
      </w:r>
    </w:p>
    <w:p w:rsidR="00D43B5F" w:rsidRDefault="00AA5010" w:rsidP="00D43B5F">
      <w:pPr>
        <w:pStyle w:val="Bullet"/>
      </w:pPr>
      <w:r>
        <w:t xml:space="preserve">Model General Notice and COBRA </w:t>
      </w:r>
      <w:r>
        <w:t xml:space="preserve">Continuation Coverage Election Notice: </w:t>
      </w:r>
      <w:hyperlink r:id="rId14" w:history="1">
        <w:r>
          <w:rPr>
            <w:rStyle w:val="Hyperlink"/>
          </w:rPr>
          <w:t>MS Word</w:t>
        </w:r>
      </w:hyperlink>
      <w:r>
        <w:t xml:space="preserve"> | </w:t>
      </w:r>
      <w:hyperlink r:id="rId15" w:history="1">
        <w:r>
          <w:rPr>
            <w:rStyle w:val="Hyperlink"/>
          </w:rPr>
          <w:t>PDF</w:t>
        </w:r>
      </w:hyperlink>
    </w:p>
    <w:p w:rsidR="00D43B5F" w:rsidRDefault="00AA5010" w:rsidP="00D43B5F">
      <w:pPr>
        <w:pStyle w:val="Bullet"/>
      </w:pPr>
      <w:r>
        <w:t xml:space="preserve">Model Notice in Connection with Extended Election Period: </w:t>
      </w:r>
      <w:hyperlink r:id="rId16" w:history="1">
        <w:r>
          <w:rPr>
            <w:rStyle w:val="Hyperlink"/>
          </w:rPr>
          <w:t>MS Word</w:t>
        </w:r>
      </w:hyperlink>
      <w:r>
        <w:t xml:space="preserve"> | </w:t>
      </w:r>
      <w:hyperlink r:id="rId17" w:history="1">
        <w:r>
          <w:rPr>
            <w:rStyle w:val="Hyperlink"/>
          </w:rPr>
          <w:t>PDF</w:t>
        </w:r>
      </w:hyperlink>
    </w:p>
    <w:p w:rsidR="00D43B5F" w:rsidRDefault="00AA5010" w:rsidP="00D43B5F">
      <w:pPr>
        <w:pStyle w:val="Bullet"/>
      </w:pPr>
      <w:r>
        <w:t xml:space="preserve">Model Alternative Notice: </w:t>
      </w:r>
      <w:hyperlink r:id="rId18" w:history="1">
        <w:r>
          <w:rPr>
            <w:rStyle w:val="Hyperlink"/>
          </w:rPr>
          <w:t>MS Word</w:t>
        </w:r>
      </w:hyperlink>
      <w:r>
        <w:t xml:space="preserve"> | </w:t>
      </w:r>
      <w:hyperlink r:id="rId19" w:history="1">
        <w:r>
          <w:rPr>
            <w:rStyle w:val="Hyperlink"/>
          </w:rPr>
          <w:t>PDF</w:t>
        </w:r>
      </w:hyperlink>
    </w:p>
    <w:p w:rsidR="00D43B5F" w:rsidRDefault="00AA5010" w:rsidP="00D43B5F">
      <w:pPr>
        <w:pStyle w:val="Bullet"/>
      </w:pPr>
      <w:r>
        <w:t>Model Notice of Expirati</w:t>
      </w:r>
      <w:r>
        <w:t xml:space="preserve">on of Premium Assistance: </w:t>
      </w:r>
      <w:hyperlink r:id="rId20" w:history="1">
        <w:r>
          <w:rPr>
            <w:rStyle w:val="Hyperlink"/>
          </w:rPr>
          <w:t>MS Word</w:t>
        </w:r>
      </w:hyperlink>
      <w:r>
        <w:t xml:space="preserve"> | </w:t>
      </w:r>
      <w:hyperlink r:id="rId21" w:history="1">
        <w:r>
          <w:rPr>
            <w:rStyle w:val="Hyperlink"/>
          </w:rPr>
          <w:t>PDF</w:t>
        </w:r>
      </w:hyperlink>
    </w:p>
    <w:p w:rsidR="00D43B5F" w:rsidRPr="008A7E71" w:rsidRDefault="00AA5010" w:rsidP="00D43B5F">
      <w:pPr>
        <w:pStyle w:val="Bullet"/>
      </w:pPr>
      <w:r>
        <w:t xml:space="preserve">Summary of COBRA Premium Assistance Provisions under the American Rescue Plan Act of 2021: </w:t>
      </w:r>
      <w:hyperlink r:id="rId22" w:history="1">
        <w:r>
          <w:rPr>
            <w:rStyle w:val="Hyperlink"/>
          </w:rPr>
          <w:t>MS Word</w:t>
        </w:r>
      </w:hyperlink>
      <w:r>
        <w:t xml:space="preserve"> | </w:t>
      </w:r>
      <w:hyperlink r:id="rId23" w:history="1">
        <w:r>
          <w:rPr>
            <w:rStyle w:val="Hyperlink"/>
          </w:rPr>
          <w:t>PDF</w:t>
        </w:r>
      </w:hyperlink>
      <w:r>
        <w:t xml:space="preserve"> </w:t>
      </w:r>
    </w:p>
    <w:p w:rsidR="00D43B5F" w:rsidRPr="008A7E71" w:rsidRDefault="00AA5010" w:rsidP="00D43B5F">
      <w:pPr>
        <w:pStyle w:val="Sub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5587365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3658" y="0"/>
                          <a:chExt cx="7764448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8" y="0"/>
                            <a:ext cx="7764448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RDefault="00AA5010" w:rsidP="00CF5E21">
                              <w:pPr>
                                <w:pStyle w:val="CallOutBox"/>
                              </w:pPr>
                              <w:r>
                                <w:t xml:space="preserve">Plans may use the DOL </w:t>
                              </w:r>
                              <w:r>
                                <w:t>model notices to meet their notice obligations under the COBRA subsidy provisions of the ARPA.</w:t>
                              </w:r>
                              <w:r w:rsidRPr="00A47C5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39.9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25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>
                        <w:pPr>
                          <w:pStyle w:val="CallOutBox"/>
                        </w:pPr>
                        <w:r>
                          <w:t>Plans may use the DOL model notices to meet their notice obligations under the COBRA subsidy provisions of the ARPA.</w:t>
                        </w:r>
                        <w:r w:rsidRPr="00A47C53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RDefault="00AA5010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CB623A">
                              <w:rPr>
                                <w:b/>
                                <w:color w:val="6F61B0"/>
                                <w:sz w:val="20"/>
                                <w:szCs w:val="20"/>
                              </w:rPr>
                              <w:t>CIA Insurance &amp; Risk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CB623A">
                        <w:rPr>
                          <w:b/>
                          <w:color w:val="6F61B0"/>
                          <w:sz w:val="20"/>
                          <w:szCs w:val="20"/>
                        </w:rPr>
                        <w:t>CIA Insurance &amp; Risk Management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3B5F">
        <w:t>FAQs</w:t>
      </w:r>
    </w:p>
    <w:p w:rsidR="00D43B5F" w:rsidRPr="008A7E71" w:rsidRDefault="00AA5010" w:rsidP="00D43B5F">
      <w:pPr>
        <w:pStyle w:val="BodyText"/>
      </w:pPr>
      <w:r>
        <w:t xml:space="preserve">The DOL guidance contains 21 FAQs on topics such as eligibility, </w:t>
      </w:r>
      <w:r w:rsidR="00787F58">
        <w:t>elections</w:t>
      </w:r>
      <w:r>
        <w:t>, notice requirements and d</w:t>
      </w:r>
      <w:r>
        <w:t xml:space="preserve">uration of the subsidy. Notably, the FAQs state that prior federal COVID-19-related relief for plan deadlines </w:t>
      </w:r>
      <w:r w:rsidRPr="007751A9">
        <w:t>do</w:t>
      </w:r>
      <w:r>
        <w:t>es</w:t>
      </w:r>
      <w:r w:rsidRPr="007751A9">
        <w:t xml:space="preserve"> not apply to notice or election periods </w:t>
      </w:r>
      <w:r>
        <w:t xml:space="preserve">set forth in the ARPA provisions about the COBRA subsidy. However, an individual may </w:t>
      </w:r>
      <w:r w:rsidRPr="00D0487F">
        <w:t xml:space="preserve">elect COBRA </w:t>
      </w:r>
      <w:r>
        <w:t>from</w:t>
      </w:r>
      <w:r w:rsidRPr="00D0487F">
        <w:t xml:space="preserve"> an earlier qualifying event if the individual is eligible to make that election, including under the extended time frames provided under th</w:t>
      </w:r>
      <w:r>
        <w:t xml:space="preserve">at relief. </w:t>
      </w:r>
    </w:p>
    <w:p w:rsidR="008A7E71" w:rsidRPr="004967FA" w:rsidRDefault="00AA5010" w:rsidP="004967FA">
      <w:pPr>
        <w:pStyle w:val="BodyText"/>
      </w:pPr>
      <w:r w:rsidRPr="008A7E71">
        <w:t>.</w:t>
      </w:r>
    </w:p>
    <w:sectPr w:rsidR="008A7E71" w:rsidRPr="004967FA" w:rsidSect="008A7E71">
      <w:headerReference w:type="default" r:id="rId26"/>
      <w:footerReference w:type="default" r:id="rId27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010" w:rsidRDefault="00AA5010">
      <w:pPr>
        <w:spacing w:after="0" w:line="240" w:lineRule="auto"/>
      </w:pPr>
      <w:r>
        <w:separator/>
      </w:r>
    </w:p>
  </w:endnote>
  <w:endnote w:type="continuationSeparator" w:id="0">
    <w:p w:rsidR="00AA5010" w:rsidRDefault="00A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36D" w:rsidRDefault="00AA50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RDefault="00AA5010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</w:t>
                          </w:r>
                          <w:r w:rsidR="001B61EA">
                            <w:t>2021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</w:t>
                    </w:r>
                    <w:r w:rsidR="001B61EA">
                      <w:t>2021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28137421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6f61b0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404015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010" w:rsidRDefault="00AA5010">
      <w:pPr>
        <w:spacing w:after="0" w:line="240" w:lineRule="auto"/>
      </w:pPr>
      <w:r>
        <w:separator/>
      </w:r>
    </w:p>
  </w:footnote>
  <w:footnote w:type="continuationSeparator" w:id="0">
    <w:p w:rsidR="00AA5010" w:rsidRDefault="00A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36D" w:rsidRDefault="00AA50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RDefault="00AA5010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C8E82882"/>
    <w:lvl w:ilvl="0" w:tplc="B02040F8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6F61B0"/>
      </w:rPr>
    </w:lvl>
    <w:lvl w:ilvl="1" w:tplc="E60E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64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9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E2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A2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60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CA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99641D5A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5EB6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82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1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1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09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69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C0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25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196"/>
    <w:multiLevelType w:val="multilevel"/>
    <w:tmpl w:val="B13CDD56"/>
    <w:numStyleLink w:val="BulletedList"/>
  </w:abstractNum>
  <w:abstractNum w:abstractNumId="3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61B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1A1"/>
    <w:multiLevelType w:val="hybridMultilevel"/>
    <w:tmpl w:val="43CE94D6"/>
    <w:lvl w:ilvl="0" w:tplc="C3CA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8E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4C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03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87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65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A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0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2E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744"/>
    <w:multiLevelType w:val="hybridMultilevel"/>
    <w:tmpl w:val="D67CDEAC"/>
    <w:lvl w:ilvl="0" w:tplc="507861BA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7F7E9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00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EA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C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EB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4A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6F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F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81B"/>
    <w:multiLevelType w:val="hybridMultilevel"/>
    <w:tmpl w:val="6B3406E4"/>
    <w:lvl w:ilvl="0" w:tplc="867E029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61B0"/>
      </w:rPr>
    </w:lvl>
    <w:lvl w:ilvl="1" w:tplc="83DC0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C6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EC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2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E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4B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24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AC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A0szQyMDawMLFU0lEKTi0uzszPAykwrAUAGGoDGiwAAAA="/>
  </w:docVars>
  <w:rsids>
    <w:rsidRoot w:val="00497012"/>
    <w:rsid w:val="000167FE"/>
    <w:rsid w:val="001050A8"/>
    <w:rsid w:val="0012162D"/>
    <w:rsid w:val="001631A4"/>
    <w:rsid w:val="001725D9"/>
    <w:rsid w:val="00182D24"/>
    <w:rsid w:val="001B1A7E"/>
    <w:rsid w:val="001B61EA"/>
    <w:rsid w:val="001D0C56"/>
    <w:rsid w:val="0024208C"/>
    <w:rsid w:val="00246124"/>
    <w:rsid w:val="0026000D"/>
    <w:rsid w:val="002B61D1"/>
    <w:rsid w:val="002F786C"/>
    <w:rsid w:val="003267EB"/>
    <w:rsid w:val="0036117A"/>
    <w:rsid w:val="003A6B72"/>
    <w:rsid w:val="0048508B"/>
    <w:rsid w:val="00485C3A"/>
    <w:rsid w:val="004967FA"/>
    <w:rsid w:val="00497012"/>
    <w:rsid w:val="004B125C"/>
    <w:rsid w:val="004D34B3"/>
    <w:rsid w:val="004D350F"/>
    <w:rsid w:val="004E7A8B"/>
    <w:rsid w:val="00584B55"/>
    <w:rsid w:val="005D05D9"/>
    <w:rsid w:val="005D73E7"/>
    <w:rsid w:val="0066265A"/>
    <w:rsid w:val="006A2A41"/>
    <w:rsid w:val="00707343"/>
    <w:rsid w:val="00770406"/>
    <w:rsid w:val="007751A9"/>
    <w:rsid w:val="00787F58"/>
    <w:rsid w:val="00796AD3"/>
    <w:rsid w:val="007E1BD1"/>
    <w:rsid w:val="007E7DE1"/>
    <w:rsid w:val="00802FF0"/>
    <w:rsid w:val="00817EEE"/>
    <w:rsid w:val="00855DD7"/>
    <w:rsid w:val="00856044"/>
    <w:rsid w:val="00871E9E"/>
    <w:rsid w:val="00885AA7"/>
    <w:rsid w:val="008864AB"/>
    <w:rsid w:val="008A7E71"/>
    <w:rsid w:val="008B1A4D"/>
    <w:rsid w:val="008F7B15"/>
    <w:rsid w:val="00912E81"/>
    <w:rsid w:val="00926535"/>
    <w:rsid w:val="00941470"/>
    <w:rsid w:val="009440BA"/>
    <w:rsid w:val="00947E11"/>
    <w:rsid w:val="0098636D"/>
    <w:rsid w:val="00993033"/>
    <w:rsid w:val="009A1F7A"/>
    <w:rsid w:val="009D4BB6"/>
    <w:rsid w:val="009D4CF7"/>
    <w:rsid w:val="009E2B6A"/>
    <w:rsid w:val="009E4DC9"/>
    <w:rsid w:val="00A337BD"/>
    <w:rsid w:val="00A47C53"/>
    <w:rsid w:val="00A65FD8"/>
    <w:rsid w:val="00A85321"/>
    <w:rsid w:val="00AA5010"/>
    <w:rsid w:val="00AD0649"/>
    <w:rsid w:val="00BA7D47"/>
    <w:rsid w:val="00BE45C1"/>
    <w:rsid w:val="00C14414"/>
    <w:rsid w:val="00C27863"/>
    <w:rsid w:val="00C741AE"/>
    <w:rsid w:val="00CB623A"/>
    <w:rsid w:val="00CE33E0"/>
    <w:rsid w:val="00CF5E21"/>
    <w:rsid w:val="00D0487F"/>
    <w:rsid w:val="00D2167C"/>
    <w:rsid w:val="00D35AF9"/>
    <w:rsid w:val="00D379D5"/>
    <w:rsid w:val="00D43B5F"/>
    <w:rsid w:val="00D76FCB"/>
    <w:rsid w:val="00DC3880"/>
    <w:rsid w:val="00E16E6C"/>
    <w:rsid w:val="00E22262"/>
    <w:rsid w:val="00E378E3"/>
    <w:rsid w:val="00E443C6"/>
    <w:rsid w:val="00E73236"/>
    <w:rsid w:val="00EC2053"/>
    <w:rsid w:val="00F32D2D"/>
    <w:rsid w:val="00F32F5A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CC7129-CD73-4D19-8C08-4297701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CB623A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CB623A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66265A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9D4CF7"/>
    <w:pPr>
      <w:numPr>
        <w:numId w:val="3"/>
      </w:numPr>
      <w:tabs>
        <w:tab w:val="left" w:pos="540"/>
      </w:tabs>
      <w:spacing w:after="160"/>
      <w:ind w:left="532" w:hanging="446"/>
      <w:contextualSpacing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9D4CF7"/>
    <w:pPr>
      <w:numPr>
        <w:numId w:val="4"/>
      </w:numPr>
      <w:ind w:left="532" w:hanging="446"/>
    </w:pPr>
  </w:style>
  <w:style w:type="character" w:customStyle="1" w:styleId="CheckboxChar">
    <w:name w:val="Checkbox Char"/>
    <w:basedOn w:val="BulletListChar"/>
    <w:link w:val="Checkbox"/>
    <w:rsid w:val="009D4CF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B623A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9D4CF7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B623A"/>
    <w:rPr>
      <w:b/>
      <w:i/>
      <w:color w:val="6F61B0"/>
      <w:sz w:val="36"/>
      <w:szCs w:val="36"/>
    </w:rPr>
  </w:style>
  <w:style w:type="numbering" w:customStyle="1" w:styleId="BulletedList">
    <w:name w:val="Bulleted List"/>
    <w:uiPriority w:val="99"/>
    <w:rsid w:val="00182D24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9D4CF7"/>
    <w:pPr>
      <w:numPr>
        <w:numId w:val="7"/>
      </w:numPr>
      <w:contextualSpacing/>
    </w:pPr>
  </w:style>
  <w:style w:type="character" w:customStyle="1" w:styleId="BulletChar">
    <w:name w:val="Bullet Char"/>
    <w:basedOn w:val="BodyTextChar"/>
    <w:link w:val="Bullet"/>
    <w:rsid w:val="009D4CF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D43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ol.gov/agencies/ebsa/laws-and-regulations/laws/cobra/premium-subsidy" TargetMode="External"/><Relationship Id="rId18" Type="http://schemas.openxmlformats.org/officeDocument/2006/relationships/hyperlink" Target="https://www.dol.gov/sites/dolgov/files/ebsa/laws-and-regulations/laws/cobra/premium-subsidy/model-alternative-election-notice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dol.gov/sites/dolgov/files/ebsa/laws-and-regulations/laws/cobra/premium-subsidy/notice-of-premium-assistance-expiration-premium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ongress.gov/bill/117th-congress/house-bill/1319/text" TargetMode="External"/><Relationship Id="rId17" Type="http://schemas.openxmlformats.org/officeDocument/2006/relationships/hyperlink" Target="https://www.dol.gov/sites/dolgov/files/ebsa/laws-and-regulations/laws/cobra/premium-subsidy/model-extended-election-periods-notice.pdf" TargetMode="External"/><Relationship Id="rId25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s://www.dol.gov/sites/dolgov/files/ebsa/laws-and-regulations/laws/cobra/premium-subsidy/model-extended-election-periods-notice.docx" TargetMode="External"/><Relationship Id="rId20" Type="http://schemas.openxmlformats.org/officeDocument/2006/relationships/hyperlink" Target="https://www.dol.gov/sites/dolgov/files/ebsa/laws-and-regulations/laws/cobra/premium-subsidy/notice-of-premium-assistance-expiration-premium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l.gov/agencies/ebsa/laws-and-regulations/laws/cobra/premium-subsidy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dol.gov/sites/dolgov/files/ebsa/laws-and-regulations/laws/cobra/premium-subsidy/model-general-and-election-notice.pdf" TargetMode="External"/><Relationship Id="rId23" Type="http://schemas.openxmlformats.org/officeDocument/2006/relationships/hyperlink" Target="https://www.dol.gov/sites/dolgov/files/ebsa/laws-and-regulations/laws/cobra/premium-subsidy/summary-of-provision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ol.gov/sites/dolgov/files/EBSA/about-ebsa/our-activities/resource-center/faqs/cobra-premium-assistance-under-arp.pdf" TargetMode="External"/><Relationship Id="rId19" Type="http://schemas.openxmlformats.org/officeDocument/2006/relationships/hyperlink" Target="https://www.dol.gov/sites/dolgov/files/ebsa/laws-and-regulations/laws/cobra/premium-subsidy/model-alternative-election-notic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s://www.dol.gov/sites/dolgov/files/ebsa/laws-and-regulations/laws/cobra/premium-subsidy/model-general-and-election-notice.docx" TargetMode="External"/><Relationship Id="rId22" Type="http://schemas.openxmlformats.org/officeDocument/2006/relationships/hyperlink" Target="https://www.dol.gov/sites/dolgov/files/ebsa/laws-and-regulations/laws/cobra/premium-subsidy/summary-of-provisions.docx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ywave.com\dfs01\I\Content%20Development\MASTER%20TEMPLATES\Legal%20Content\2020%20Compliance%20Docs%20Redesign\Legal%20Update\HR_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zywave.com\dfs01\I\Content Development\MASTER TEMPLATES\Legal Content\2020 Compliance Docs Redesign\Legal Update\HR_Legal Update.dotx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Kelliher, Miriam</dc:creator>
  <cp:lastModifiedBy>Meg Moran</cp:lastModifiedBy>
  <cp:revision>2</cp:revision>
  <dcterms:created xsi:type="dcterms:W3CDTF">2021-04-21T13:38:00Z</dcterms:created>
  <dcterms:modified xsi:type="dcterms:W3CDTF">2021-04-21T13:38:00Z</dcterms:modified>
</cp:coreProperties>
</file>